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vnqsa3oqqwrt"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REPORT: </w:t>
      </w:r>
      <w:r w:rsidDel="00000000" w:rsidR="00000000" w:rsidRPr="00000000">
        <w:rPr>
          <w:color w:val="333333"/>
          <w:sz w:val="24"/>
          <w:szCs w:val="24"/>
          <w:rtl w:val="0"/>
        </w:rPr>
        <w:t xml:space="preserve"> This report for the 9 month period ending on March 31, 2021 has been provided to you for review. For the first 9 months if this fiscal year, revenue is $33,085,792.95 compared to $29,308,789.25 last year (an increase of $3,523,552). The principal areas of increase were a onetime State LOST adjustment and COVID recovery payment from the State. The expenditures during the first 9 months of this year were $26,264,201.84 compared to $26,180,230.79 (an increase of $83,980). Year to date revenue exceeds expenditures by $6,821,591.11. Last year at this time, revenue exceeded expenditures by $3,128,230.46</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monthly Cash and Investment Report is in your material for your review.</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Budget work continues. The Finance Committee met on Friday April 16 and reviewed the entire proposed Budget in preparation for submission to the Board of Commissioners for review next month.</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aeqjvq528vp"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Covid-19 task force met today. Gordon County continues to show a consistent reduction in the amount of active cases. Advent Health reported 5 cases and none on ventilator support. No cases were reported in Calhoun City Schools and two cases were reported in County Schools. Over all Gordon County cases are down 50% compared to two weeks ago. E911 reports 43 homes with at least one positive case in the last 21 days and 17 of those will drop off this week.</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SENIOR CENTER:</w:t>
      </w:r>
      <w:r w:rsidDel="00000000" w:rsidR="00000000" w:rsidRPr="00000000">
        <w:rPr>
          <w:color w:val="333333"/>
          <w:sz w:val="24"/>
          <w:szCs w:val="24"/>
          <w:rtl w:val="0"/>
        </w:rPr>
        <w:t xml:space="preserve">  The Senior Center has been closed during the pandemic in compliance with the Governor’s directives to protect at risk (elderly) people. Now that the Shelter in Place Order has been modified, the County is looking at resuming Senior Center in person operations on Monday, May 3rd. We are evaluating CDC and Department of Public Health Guidelines to open safely and in compliance with health directives.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is moving along well. Internal framing continues on all three floors. We held a project meeting on Thursday April 15 and the contractor gave a tour to all four Superior Court Judges and the newly appointed District Attorney.</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We are working on the contract with Dalton Communications and hope to have that to the BOC for approval at the next meeting.</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FLOODING:</w:t>
      </w:r>
      <w:r w:rsidDel="00000000" w:rsidR="00000000" w:rsidRPr="00000000">
        <w:rPr>
          <w:color w:val="333333"/>
          <w:sz w:val="24"/>
          <w:szCs w:val="24"/>
          <w:rtl w:val="0"/>
        </w:rPr>
        <w:t xml:space="preserve">  Gordon County personnel will meet with GEMA and FEMA on Wednesday to discuss flood damage claims. Dobson Road and Harbor Road remain closed from flood damage while we wait on engineering and materials.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County personnel conducted a warranty walk though with the General Contractor to make sure the warranty list is complete as we approach one year since substantial completion.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