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o0zmcy480f6h"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May 5, 2020 reflect collections reported for March 2020. For that period, SPLOST collections were $772,416.61 which is a $44,859.44 (6.17%) increase over the same period last year. LOST collections were $429,497.29 which is a $32,928.09 (7.16%) increase over the same period last year. The increases reflect a quarterly payment for taxes assessed against online sales.</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 </w:t>
      </w:r>
      <w:r w:rsidDel="00000000" w:rsidR="00000000" w:rsidRPr="00000000">
        <w:rPr>
          <w:color w:val="333333"/>
          <w:sz w:val="24"/>
          <w:szCs w:val="24"/>
          <w:rtl w:val="0"/>
        </w:rPr>
        <w:t xml:space="preserve"> Finance is printing the recommended budget for presentation to the Board of Commissioners at the next meeting which is May 19. The BOC will have until June 16 to review the proposed budget. The final budget is to be adopted on June 16 with an effective date of July 1.</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sq7uecoslse"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Gordon County began participating in the local Covid-19 Task Force on March 3, 2020 and continues to participate on a weekly basis. Gordon County continues to operate under restricted access protocols that it implemented on March 18, 2020, in an effort to continue to provide essential government services while maintaining steps to reduce the spread of the virus. On March 23, Gordon County and the cities within the county executed a joint resolution establishing the closure of all bars and restaurants and procedures for take-out and delivery of food only, and restricting gatherings over 10 people. The Governor issued an Executive Order effective April 3, 2020, that replaced our local joint resolution. Gordon County remains under the Governor’s most recent Executive Order. The Georgia Supreme Court has announced its intent to continue restricted access to the Courts until June 12. The virus remains a deadly contagious threat. We, as a community, need to stay vigilant to protect each other and especially our elderly and at-risk populations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An Owner’s walkthrough is set Monday, May 11th</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Move-in date is scheduled for May 13th</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with the demolition of the old building and parking lot paving is scheduled for the first of July.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This project is complete. The General Contractor, locally owned Momon Construction, delivered the project ahead of schedule and under budget.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foundation and pad have been poured.</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Project completion scheduled for the first of July.</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Pending Bids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Construction Manager is scheduled has begun the first phase of its work by reviewing the plans, evaluating the site, and determining costs to prepare the recommended maximum price for the BOC to review.</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a preliminary engineering plan to raise the road. The next steps will be a discussion of this plan with affected residents living adjacent to Doe lane. The arrangements for this meeting have been delayed by Covid-19 gathering and social distance restrictions.</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MT. OLIVE CHURCH ROAD</w:t>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preliminary engineering plans to rebuild the road between the two lakes. This is a voter-approved SPLOST project.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