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180" w:before="0" w:line="240" w:lineRule="auto"/>
        <w:rPr>
          <w:b w:val="1"/>
          <w:color w:val="333333"/>
          <w:sz w:val="60"/>
          <w:szCs w:val="60"/>
        </w:rPr>
      </w:pPr>
      <w:bookmarkStart w:colFirst="0" w:colLast="0" w:name="_5rc89zx8e8oi" w:id="0"/>
      <w:bookmarkEnd w:id="0"/>
      <w:r w:rsidDel="00000000" w:rsidR="00000000" w:rsidRPr="00000000">
        <w:rPr>
          <w:b w:val="1"/>
          <w:color w:val="333333"/>
          <w:sz w:val="60"/>
          <w:szCs w:val="60"/>
          <w:rtl w:val="0"/>
        </w:rPr>
        <w:t xml:space="preserve">Admin Report for August 20, 2019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5ud8xnurggkk" w:id="1"/>
      <w:bookmarkEnd w:id="1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FINANCIAL REPORT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CASH AND INVESTMENTS REPORT: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This monthly report has been provided in your material for your information and review.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TAX CONSOLIDATIONS: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County is preparing a calendar of events to occur in September to set the millage rate and tax levy.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wotwdthibz4q" w:id="2"/>
      <w:bookmarkEnd w:id="2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SIGNIFICANT PROJECTS AND ACTIVITY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DEWS POND RD. DOT PROJECT: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Has been completed by D.O.T. contractors.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HEALTH DEPARTMENT: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This is the calendar of events for the near future: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Bid Posted: 8/21/2019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Mandatory Pre-Bid 9/18/2019 at 10 a.m.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Question Deadline 9/27/2019 at 4 p.m.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Bid Submittal Deadline 10/2/2019 at 2PM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Evaluation 10/2 to 10/15/2019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Possible Vendor notification of award 10/16/2019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COMMITTEE MEETINGS: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In the past two weeks I have attended meetings of the Finance Committee, General Administration Committee, Public Works and Public Safety. I plan to attend the Gordon/Floyd joint Development authority meeting tomorrow as well as the E911 demonstration.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ECONOMIC DEVELOPMENT: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I provided support to an existing manufacturer on a federal program that rewards creation of new jobs. We are also working with a potential major commercial project that is interested in our community.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INTERGOVERNMENTAL RELATIONS: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Chairman Hood and I met with Mayor Jimmy Palmer and Paul Worley and discussed numerous issues of common concern. I met with the County School Superintendent, Dr. Fraker, last Friday to discuss common issues.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BUILDING PROJECTS: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You have schematic designs for Brookshire Park, the Evidence Building and Morgue and Health Department here for your review.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