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j8ke0vv9qrbv" w:id="0"/>
      <w:bookmarkEnd w:id="0"/>
      <w:r w:rsidDel="00000000" w:rsidR="00000000" w:rsidRPr="00000000">
        <w:rPr>
          <w:b w:val="1"/>
          <w:color w:val="ffffff"/>
          <w:sz w:val="72"/>
          <w:szCs w:val="72"/>
          <w:rtl w:val="0"/>
        </w:rPr>
        <w:t xml:space="preserve">Admin Report for November 6,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ectdi3k6vxmf"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and LOST revenue shown in the report dated October 31, 2018 reflect collections reported for September 2018. For that period, SPLOST collections were $634,801.86 which is a $63,322.22 (9.07%) decrease over the same period last year. LOST collections were $440,289.20 which is a $43,861.01 (9.06%) decrease over the same period last year.</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ykhb9nh7ujxc"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The ribbon cutting was well attended. The building is substantially complete. We are working on the final punch-list items and expect to start moving animals in at the end of this week. Work on the pole barn should begin soon if the weather permits.</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A preliminary design has been approved by the stakeholders. This plan would contain 11,840 sq. ft. and can come in on budget pending approval of grant money.</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 2nd FLOOR:</w:t>
      </w:r>
      <w:r w:rsidDel="00000000" w:rsidR="00000000" w:rsidRPr="00000000">
        <w:rPr>
          <w:color w:val="333333"/>
          <w:sz w:val="24"/>
          <w:szCs w:val="24"/>
          <w:rtl w:val="0"/>
        </w:rPr>
        <w:t xml:space="preserve">  We began collecting SPLOST money on this project on May 1 this year. The Judges and District Attorney have worked with the architects and our staff and have come up with a preliminary design. We are having Momon Construction to give a cost estimate based on the preliminary design. The long range plan is to put the Superior Court Judge’s office, D.A.’s office, and victim’s assistance on the second floor while the Annex is remodeled. Then Magistrate and Probate would be moved to the second floor after the Annex is complete and we start on the old Courthouse.</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The architects are looking at the improvements contemplated in this 2012 SPLOST project with the idea to install a pavilion, picnic tables, walking trail and other amenities.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We are moving forward with establishment of the stakeholder committee and use of Taylor English Decisions for an economic development plan.</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J</w:t>
      </w:r>
      <w:r w:rsidDel="00000000" w:rsidR="00000000" w:rsidRPr="00000000">
        <w:rPr>
          <w:b w:val="1"/>
          <w:color w:val="1c1c1c"/>
          <w:sz w:val="24"/>
          <w:szCs w:val="24"/>
          <w:rtl w:val="0"/>
        </w:rPr>
        <w:t xml:space="preserve">OHNSON LAKE ROAD:</w:t>
      </w:r>
      <w:r w:rsidDel="00000000" w:rsidR="00000000" w:rsidRPr="00000000">
        <w:rPr>
          <w:color w:val="333333"/>
          <w:sz w:val="24"/>
          <w:szCs w:val="24"/>
          <w:rtl w:val="0"/>
        </w:rPr>
        <w:t xml:space="preserve">  Abandonment is moving forward with a redrawn legal description to include the west side of the road. The hearing on the abandonment will take place at the next Board meeting.</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DEVELOPMENT AUTHORITY SALE:</w:t>
      </w:r>
      <w:r w:rsidDel="00000000" w:rsidR="00000000" w:rsidRPr="00000000">
        <w:rPr>
          <w:color w:val="333333"/>
          <w:sz w:val="24"/>
          <w:szCs w:val="24"/>
          <w:rtl w:val="0"/>
        </w:rPr>
        <w:t xml:space="preserve">  LG has purchased additional property from the Development Authority in an amount sufficient to pay off the bonded indebtedness that was guaranteed by Gordon County for the purchase of the property in about 2009. This debt has, in fact, been paid off.</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