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wxj43n4pyhwk" w:id="0"/>
      <w:bookmarkEnd w:id="0"/>
      <w:r w:rsidDel="00000000" w:rsidR="00000000" w:rsidRPr="00000000">
        <w:rPr>
          <w:b w:val="1"/>
          <w:color w:val="333333"/>
          <w:sz w:val="60"/>
          <w:szCs w:val="60"/>
          <w:rtl w:val="0"/>
        </w:rPr>
        <w:t xml:space="preserve">Admin Report for July 10,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t75ci2j45f5a"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June 30, 2018 reflect collections reported for May 2018. For that period, SPLOST collections were $718,164.44 which is a $22,819.59 (3.28%) increase over the same period last year. LOST collections were $498,058.33 which is a $15,825.45 (53.28%) increase over the same period last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H/B 489; Service Delivery Strategy:</w:t>
      </w:r>
      <w:r w:rsidDel="00000000" w:rsidR="00000000" w:rsidRPr="00000000">
        <w:rPr>
          <w:color w:val="333333"/>
          <w:sz w:val="24"/>
          <w:szCs w:val="24"/>
          <w:rtl w:val="0"/>
        </w:rPr>
        <w:t xml:space="preserve">  The deadline to file an agreement has been extended officially to October 31, 2018.</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Plan has been approved by DCA. By receiving approval, Gordon County has retained its Qualified Local Government Status.</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kt2gtve0s3dm"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 shingles are on and interior wiring is underway. Exterior and interior colors have been selected. Surveying for the sewer connection is complete.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Internal Leadership Development Program:</w:t>
      </w:r>
      <w:r w:rsidDel="00000000" w:rsidR="00000000" w:rsidRPr="00000000">
        <w:rPr>
          <w:color w:val="333333"/>
          <w:sz w:val="24"/>
          <w:szCs w:val="24"/>
          <w:rtl w:val="0"/>
        </w:rPr>
        <w:t xml:space="preserve">  We are meeting with Department Heads this week and hope to announce the participants in this new program by the end of July.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Early Voting:</w:t>
      </w:r>
      <w:r w:rsidDel="00000000" w:rsidR="00000000" w:rsidRPr="00000000">
        <w:rPr>
          <w:color w:val="333333"/>
          <w:sz w:val="24"/>
          <w:szCs w:val="24"/>
          <w:rtl w:val="0"/>
        </w:rPr>
        <w:t xml:space="preserve">  Early voting is underway until July 20, 2018 for the primary run-off election that will follow on July 24th.</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Safety Committee:</w:t>
      </w:r>
      <w:r w:rsidDel="00000000" w:rsidR="00000000" w:rsidRPr="00000000">
        <w:rPr>
          <w:color w:val="333333"/>
          <w:sz w:val="24"/>
          <w:szCs w:val="24"/>
          <w:rtl w:val="0"/>
        </w:rPr>
        <w:t xml:space="preserve">  The Safety Committee met on June 28th and reviewed closed and pending claims.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Library:</w:t>
      </w:r>
      <w:r w:rsidDel="00000000" w:rsidR="00000000" w:rsidRPr="00000000">
        <w:rPr>
          <w:color w:val="333333"/>
          <w:sz w:val="24"/>
          <w:szCs w:val="24"/>
          <w:rtl w:val="0"/>
        </w:rPr>
        <w:t xml:space="preserve">  City of Calhoun Representatives and I attended a lunch sponsored by the Library where we received information on the many programs the Library provides for the community which go far beyond books.</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Fourth of July:</w:t>
      </w:r>
      <w:r w:rsidDel="00000000" w:rsidR="00000000" w:rsidRPr="00000000">
        <w:rPr>
          <w:color w:val="333333"/>
          <w:sz w:val="24"/>
          <w:szCs w:val="24"/>
          <w:rtl w:val="0"/>
        </w:rPr>
        <w:t xml:space="preserve">  The Public Works, Public Safety, EMA and Sheriff’s Departments provided support to the annual Fourth of July celebration at the Fairgrounds. We also thank Bud Owens and the Fair Association for helping us celebrate the Nation’s independence.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ACCG Capital Needs Survey:</w:t>
      </w:r>
      <w:r w:rsidDel="00000000" w:rsidR="00000000" w:rsidRPr="00000000">
        <w:rPr>
          <w:color w:val="333333"/>
          <w:sz w:val="24"/>
          <w:szCs w:val="24"/>
          <w:rtl w:val="0"/>
        </w:rPr>
        <w:t xml:space="preserve">  The county completed a capital needs survey for ACCG to be used in its efforts to procure funding from the State.</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DRIVES Program:</w:t>
      </w:r>
      <w:r w:rsidDel="00000000" w:rsidR="00000000" w:rsidRPr="00000000">
        <w:rPr>
          <w:color w:val="333333"/>
          <w:sz w:val="24"/>
          <w:szCs w:val="24"/>
          <w:rtl w:val="0"/>
        </w:rPr>
        <w:t xml:space="preserve">  Scott Clements, Keith King, and I went to Plainville to visit with Mayor Martin and others to discuss amendments to the law pertaining to the sale of car tags and decals. Plainville has offered taxpayers on the West side of the county the convenience of tag and decal sales from City Hall since Sally Johnston was Mayor. They have sold about 1,000 tags/decals in the first half of this year. Plainville hopes to continue to offer this service under the new DRIVES provisions. Much of this determination will come from the Georgia Department of Revenue.</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