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6c1djgtiqlgw" w:id="0"/>
      <w:bookmarkEnd w:id="0"/>
      <w:r w:rsidDel="00000000" w:rsidR="00000000" w:rsidRPr="00000000">
        <w:rPr>
          <w:b w:val="1"/>
          <w:color w:val="333333"/>
          <w:sz w:val="60"/>
          <w:szCs w:val="60"/>
          <w:rtl w:val="0"/>
        </w:rPr>
        <w:t xml:space="preserve">Administrator’s Report October 13,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w2u074ypcap1" w:id="1"/>
      <w:bookmarkEnd w:id="1"/>
      <w:r w:rsidDel="00000000" w:rsidR="00000000" w:rsidRPr="00000000">
        <w:rPr>
          <w:b w:val="1"/>
          <w:color w:val="1c1c1c"/>
          <w:sz w:val="36"/>
          <w:szCs w:val="36"/>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Local Option Sales Tax (LOST) revenue received in September 2015 fell 4.27% with a $22,703 decrease and Special Purpose Local Option Sales Tax (SPLOST) revenue fell 4.60% with a $34,678 decrease compared to the same month of the previous year (report attached).</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Tax Digest:</w:t>
      </w:r>
      <w:r w:rsidDel="00000000" w:rsidR="00000000" w:rsidRPr="00000000">
        <w:rPr>
          <w:color w:val="333333"/>
          <w:sz w:val="24"/>
          <w:szCs w:val="24"/>
          <w:rtl w:val="0"/>
        </w:rPr>
        <w:t xml:space="preserve">  The Gordon County tax digest was approved by the State of Georgia and property tax bills are being prepared by the Tax Commissioner.</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5oxy6otmudle"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Expansion:</w:t>
      </w:r>
      <w:r w:rsidDel="00000000" w:rsidR="00000000" w:rsidRPr="00000000">
        <w:rPr>
          <w:color w:val="333333"/>
          <w:sz w:val="24"/>
          <w:szCs w:val="24"/>
          <w:rtl w:val="0"/>
        </w:rPr>
        <w:t xml:space="preserve">  Moman Construction submitted the lowest bid for the project and was identified as the preferred vender. Additional funding is still necessary to perform all of the work required by the George Chambers Resource Center. Therefore, the George Chambers Director has provided those funds. Pending the approval of the Board of Commissioners, the county will amend the budget to obligate the additional funding through a contract with Moman Construction.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The old fire station has been demolished to make way for a vehicular entrance from Cash Road. Following the demolition, wet soil was identified in the vicinity of the Cash Road entrance, and the contractor is working with the environmental engineers from NOVA to determine what actions, if any, should be taken. A problem was also identified regarding the buildings insulation. Calhoun Commercial Construction acknowledged the deficiency and has agreed to take corrective action to ensure the insulation is installed properly and aligns with the recommendations provided by the manufacturer.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Beautiful Backroads:  </w:t>
      </w:r>
      <w:r w:rsidDel="00000000" w:rsidR="00000000" w:rsidRPr="00000000">
        <w:rPr>
          <w:color w:val="333333"/>
          <w:sz w:val="24"/>
          <w:szCs w:val="24"/>
          <w:rtl w:val="0"/>
        </w:rPr>
        <w:t xml:space="preserve">NWGRC has agreed to assist with developing a plan for a bicycle route through Gordon County. A meeting was held with GDOT and NWGRC, and all parties consider this to be a long term project that must begin with a concept plan. The concept plan will be prepared by the NWGRC in coordination with local bicycle organizations and the GDOT. The next meeting will be held at 5:30 p.m. on Thursday, October 15th in the Calhoun Depot to coordinate the scope of work for the initial assessment.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County Administrator and Parks &amp; Recreation Director conducted a site inspection of the Resaca Battlefield at the request of Dave Clark of the Georgia Department of Natural Resources. It was determined that some progress had been made since the previous inspection; however, the state has not yet completed all of the work needed to open the site. Remaining items includes installation of a site entrance sign, improvements to the trail marker system, and correction of errors on several of the interpretive signs. The State agreed to contact Gordon County after all of the remaining work is complete.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Public Works:  </w:t>
      </w:r>
      <w:r w:rsidDel="00000000" w:rsidR="00000000" w:rsidRPr="00000000">
        <w:rPr>
          <w:color w:val="333333"/>
          <w:sz w:val="24"/>
          <w:szCs w:val="24"/>
          <w:rtl w:val="0"/>
        </w:rPr>
        <w:t xml:space="preserve">The Dew’s Pond Road striping began today and full temporary striping will then be applied. These markings will be improved later this year with the installation of a high-visibility thermoplast striping that has been funded through a GDOT grant. The County is expecting a response in November from the USACOE for approval to increase the elevation of Brookshire Road. Covington Bridge Road improvements are on the priority list for later this fiscal year.</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