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s3xei3460xf" w:id="0"/>
      <w:bookmarkEnd w:id="0"/>
      <w:r w:rsidDel="00000000" w:rsidR="00000000" w:rsidRPr="00000000">
        <w:rPr>
          <w:b w:val="1"/>
          <w:color w:val="ffffff"/>
          <w:sz w:val="72"/>
          <w:szCs w:val="72"/>
          <w:rtl w:val="0"/>
        </w:rPr>
        <w:t xml:space="preserve">Administrator’s Report for September 1, 2015</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hgvu3tgmqe66" w:id="1"/>
      <w:bookmarkEnd w:id="1"/>
      <w:r w:rsidDel="00000000" w:rsidR="00000000" w:rsidRPr="00000000">
        <w:rPr>
          <w:b w:val="1"/>
          <w:color w:val="1c1c1c"/>
          <w:sz w:val="36"/>
          <w:szCs w:val="36"/>
          <w:rtl w:val="0"/>
        </w:rPr>
        <w:t xml:space="preserve">Finance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Millage Rate:</w:t>
      </w:r>
      <w:r w:rsidDel="00000000" w:rsidR="00000000" w:rsidRPr="00000000">
        <w:rPr>
          <w:color w:val="333333"/>
          <w:sz w:val="24"/>
          <w:szCs w:val="24"/>
          <w:rtl w:val="0"/>
        </w:rPr>
        <w:t xml:space="preserve">  The proposal to increase the millage rate from 9.747 to 9.930 mils was advertised and public hearings are being conducted on September 1st at 6:00 p.m., September 15th at 8:00 a.m., and September 15th at 6:00 p.m.</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Sales Tax:</w:t>
      </w:r>
      <w:r w:rsidDel="00000000" w:rsidR="00000000" w:rsidRPr="00000000">
        <w:rPr>
          <w:color w:val="333333"/>
          <w:sz w:val="24"/>
          <w:szCs w:val="24"/>
          <w:rtl w:val="0"/>
        </w:rPr>
        <w:t xml:space="preserve">  The Local Option Sales Tax (LOST) revenue received in August 2015 decreased by 4.34% ($23,366.50) and the Special Purpose Local Option Sales Tax (SPLOST) revenue decreased 4.61% ($35,177.60) compared to the sales tax revenue received during the same month of the previous year (report attached).</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Building Acquisition:</w:t>
      </w:r>
      <w:r w:rsidDel="00000000" w:rsidR="00000000" w:rsidRPr="00000000">
        <w:rPr>
          <w:color w:val="333333"/>
          <w:sz w:val="24"/>
          <w:szCs w:val="24"/>
          <w:rtl w:val="0"/>
        </w:rPr>
        <w:t xml:space="preserve">  Gordon County completed the purchase of the bank building from BB&amp;T, and the final transfer of funds was confirmed on August 21st 2015.</w:t>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7t3j0bc2x0xc" w:id="2"/>
      <w:bookmarkEnd w:id="2"/>
      <w:r w:rsidDel="00000000" w:rsidR="00000000" w:rsidRPr="00000000">
        <w:rPr>
          <w:b w:val="1"/>
          <w:color w:val="1c1c1c"/>
          <w:sz w:val="36"/>
          <w:szCs w:val="36"/>
          <w:rtl w:val="0"/>
        </w:rPr>
        <w:t xml:space="preserve">Project Update:</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Bank Building:</w:t>
      </w:r>
      <w:r w:rsidDel="00000000" w:rsidR="00000000" w:rsidRPr="00000000">
        <w:rPr>
          <w:color w:val="333333"/>
          <w:sz w:val="24"/>
          <w:szCs w:val="24"/>
          <w:rtl w:val="0"/>
        </w:rPr>
        <w:t xml:space="preserve">  Core samples will be removed from the roof tomorrow in order to evaluate the quality of roofing material and underlying insulation. Massey Surveying will then begin assessing site elevations, underground utilities, and storm-water drainage lines the following week. Architects with Pieper O’Brian Herr continue to collect information in order to prepare a statement of work.</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Red Bud Road Fire Station:  </w:t>
      </w:r>
      <w:r w:rsidDel="00000000" w:rsidR="00000000" w:rsidRPr="00000000">
        <w:rPr>
          <w:color w:val="333333"/>
          <w:sz w:val="24"/>
          <w:szCs w:val="24"/>
          <w:rtl w:val="0"/>
        </w:rPr>
        <w:t xml:space="preserve">A project update was conducted by Calhoun Commercial Construction on August 27th, 2015. The contractor reported “bad soil” which they replaced with an aggregate base and geo-textile fabric. The project is nearing completion and expected to be finished in October. The Fire Department is coordinating plans to for temporary operations at the Fairmount Station to allow removal of the old Red Bud Road Fire Station building and install a new entrance from Cash Road.</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Mental Health Facility:  </w:t>
      </w:r>
      <w:r w:rsidDel="00000000" w:rsidR="00000000" w:rsidRPr="00000000">
        <w:rPr>
          <w:color w:val="333333"/>
          <w:sz w:val="24"/>
          <w:szCs w:val="24"/>
          <w:rtl w:val="0"/>
        </w:rPr>
        <w:t xml:space="preserve">Fellowship Health Resources continues to conduct employee interviews and finalize arrangements for operating this facility. They have advertised an open house luncheon that will occur on Thursday.</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George Chambers Expansion:</w:t>
      </w:r>
      <w:r w:rsidDel="00000000" w:rsidR="00000000" w:rsidRPr="00000000">
        <w:rPr>
          <w:color w:val="333333"/>
          <w:sz w:val="24"/>
          <w:szCs w:val="24"/>
          <w:rtl w:val="0"/>
        </w:rPr>
        <w:t xml:space="preserve">  The George Chambers pre-bid meeting was held today. Proposals are expected to be received by September 15th.</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 Road and Bridge Repair</w:t>
      </w:r>
      <w:r w:rsidDel="00000000" w:rsidR="00000000" w:rsidRPr="00000000">
        <w:rPr>
          <w:color w:val="333333"/>
          <w:sz w:val="24"/>
          <w:szCs w:val="24"/>
          <w:rtl w:val="0"/>
        </w:rPr>
        <w:t xml:space="preserve">:</w:t>
      </w:r>
    </w:p>
    <w:p w:rsidR="00000000" w:rsidDel="00000000" w:rsidP="00000000" w:rsidRDefault="00000000" w:rsidRPr="00000000" w14:paraId="0000000C">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Dews Pond Road – Resurfacing by North West Georgia Paving was completed August 24th.</w:t>
      </w:r>
    </w:p>
    <w:p w:rsidR="00000000" w:rsidDel="00000000" w:rsidP="00000000" w:rsidRDefault="00000000" w:rsidRPr="00000000" w14:paraId="0000000D">
      <w:pPr>
        <w:numPr>
          <w:ilvl w:val="2"/>
          <w:numId w:val="1"/>
        </w:numPr>
        <w:pBdr>
          <w:top w:color="auto" w:space="0" w:sz="0" w:val="none"/>
          <w:bottom w:color="auto" w:space="0" w:sz="0" w:val="none"/>
          <w:right w:color="auto" w:space="0" w:sz="0" w:val="none"/>
          <w:between w:color="auto" w:space="0" w:sz="0" w:val="none"/>
        </w:pBdr>
        <w:spacing w:after="0" w:afterAutospacing="0" w:line="390" w:lineRule="auto"/>
        <w:ind w:left="2160" w:hanging="360"/>
      </w:pPr>
      <w:r w:rsidDel="00000000" w:rsidR="00000000" w:rsidRPr="00000000">
        <w:rPr>
          <w:color w:val="333333"/>
          <w:sz w:val="24"/>
          <w:szCs w:val="24"/>
          <w:rtl w:val="0"/>
        </w:rPr>
        <w:t xml:space="preserve">Some driveways will require apron extensions to prevent vehicles from dragging when entering and exiting the Dews Pond Road, and they are being installed by Public Works.</w:t>
      </w:r>
    </w:p>
    <w:p w:rsidR="00000000" w:rsidDel="00000000" w:rsidP="00000000" w:rsidRDefault="00000000" w:rsidRPr="00000000" w14:paraId="0000000E">
      <w:pPr>
        <w:numPr>
          <w:ilvl w:val="2"/>
          <w:numId w:val="1"/>
        </w:numPr>
        <w:pBdr>
          <w:top w:color="auto" w:space="0" w:sz="0" w:val="none"/>
          <w:bottom w:color="auto" w:space="0" w:sz="0" w:val="none"/>
          <w:right w:color="auto" w:space="0" w:sz="0" w:val="none"/>
          <w:between w:color="auto" w:space="0" w:sz="0" w:val="none"/>
        </w:pBdr>
        <w:spacing w:after="0" w:afterAutospacing="0" w:line="390" w:lineRule="auto"/>
        <w:ind w:left="2160" w:hanging="360"/>
      </w:pPr>
      <w:r w:rsidDel="00000000" w:rsidR="00000000" w:rsidRPr="00000000">
        <w:rPr>
          <w:color w:val="333333"/>
          <w:sz w:val="24"/>
          <w:szCs w:val="24"/>
          <w:rtl w:val="0"/>
        </w:rPr>
        <w:t xml:space="preserve">Once the new surface has fully cured, striping will be installed and funded by GDOT through the State of Georgia’s Off-System Safety Grant.</w:t>
      </w:r>
    </w:p>
    <w:p w:rsidR="00000000" w:rsidDel="00000000" w:rsidP="00000000" w:rsidRDefault="00000000" w:rsidRPr="00000000" w14:paraId="0000000F">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Hot Mix resurfacing – 15 of 28 miles have been completed.</w:t>
      </w:r>
    </w:p>
    <w:p w:rsidR="00000000" w:rsidDel="00000000" w:rsidP="00000000" w:rsidRDefault="00000000" w:rsidRPr="00000000" w14:paraId="00000010">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Triple Surface Treatment – 6 of 8 miles have been completed.</w:t>
      </w:r>
    </w:p>
    <w:p w:rsidR="00000000" w:rsidDel="00000000" w:rsidP="00000000" w:rsidRDefault="00000000" w:rsidRPr="00000000" w14:paraId="00000011">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Brookshire Road – A response from the USA Corps of Engineers (USACOE) is due later this month. Pending their response, Public Work will request EPD’s permission to proceed.</w:t>
      </w:r>
    </w:p>
    <w:p w:rsidR="00000000" w:rsidDel="00000000" w:rsidP="00000000" w:rsidRDefault="00000000" w:rsidRPr="00000000" w14:paraId="00000012">
      <w:pPr>
        <w:numPr>
          <w:ilvl w:val="1"/>
          <w:numId w:val="1"/>
        </w:numPr>
        <w:pBdr>
          <w:top w:color="auto" w:space="0" w:sz="0" w:val="none"/>
          <w:bottom w:color="auto" w:space="0" w:sz="0" w:val="none"/>
          <w:right w:color="auto" w:space="0" w:sz="0" w:val="none"/>
          <w:between w:color="auto" w:space="0" w:sz="0" w:val="none"/>
        </w:pBdr>
        <w:spacing w:after="600" w:line="390" w:lineRule="auto"/>
        <w:ind w:left="1440" w:hanging="360"/>
      </w:pPr>
      <w:r w:rsidDel="00000000" w:rsidR="00000000" w:rsidRPr="00000000">
        <w:rPr>
          <w:color w:val="333333"/>
          <w:sz w:val="24"/>
          <w:szCs w:val="24"/>
          <w:rtl w:val="0"/>
        </w:rPr>
        <w:t xml:space="preserve">Covington Bridge Road – An easement was acquired and recorded by the County Attorney, and the project is on track for completion this fiscal year.</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rFonts w:ascii="Arial" w:cs="Arial" w:eastAsia="Arial" w:hAnsi="Arial"/>
        <w:color w:val="333333"/>
        <w:sz w:val="24"/>
        <w:szCs w:val="24"/>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